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Default="00226ED6">
      <w:pPr>
        <w:rPr>
          <w:b/>
          <w:sz w:val="36"/>
        </w:rPr>
      </w:pPr>
      <w:r w:rsidRPr="00226ED6">
        <w:rPr>
          <w:b/>
          <w:sz w:val="36"/>
        </w:rPr>
        <w:t>Social Behavior vs. Productivity</w:t>
      </w:r>
    </w:p>
    <w:p w:rsidR="00226ED6" w:rsidRDefault="00226ED6">
      <w:pPr>
        <w:rPr>
          <w:b/>
        </w:rPr>
      </w:pPr>
      <w:r>
        <w:rPr>
          <w:b/>
        </w:rPr>
        <w:t>By David L. Lawrence</w:t>
      </w:r>
      <w:r>
        <w:rPr>
          <w:b/>
        </w:rPr>
        <w:tab/>
      </w:r>
    </w:p>
    <w:p w:rsidR="00226ED6" w:rsidRDefault="00226ED6" w:rsidP="00226ED6">
      <w:pPr>
        <w:spacing w:line="480" w:lineRule="auto"/>
      </w:pPr>
      <w:r>
        <w:t>It may not surprise you to read that social behavior can have an effect on productivity in the workplace. But, it may surprise you to learn that not all social behavior leads to a negative impact on productivity. There are numerous example where certain types of social behavior can contribute to a financial advisor’s team related productivity as well as personal productivity.</w:t>
      </w:r>
    </w:p>
    <w:p w:rsidR="00226ED6" w:rsidRDefault="00226ED6" w:rsidP="00226ED6">
      <w:pPr>
        <w:spacing w:line="480" w:lineRule="auto"/>
      </w:pPr>
      <w:r>
        <w:t>In a study conducted last September by the George Washington University Graduate School of Education and human development, Charles Kurose wrote about two theories, Goal Setting Theory and Social Cognitive Theory. According to Kurose, “</w:t>
      </w:r>
      <w:r>
        <w:t>Goal setting theory is a framework for understanding the relationships among motivation, behavior, and performance.</w:t>
      </w:r>
      <w:r>
        <w:t xml:space="preserve"> </w:t>
      </w:r>
      <w:r>
        <w:t>The basic idea behind goal setting theory is that humans translate motivational forces into observable behavior through</w:t>
      </w:r>
      <w:r>
        <w:t xml:space="preserve"> </w:t>
      </w:r>
      <w:r>
        <w:t>the process of setting and pursuing goals. Goals are thus the mechanism that operationalizes motivation by using it to</w:t>
      </w:r>
      <w:r>
        <w:t xml:space="preserve"> </w:t>
      </w:r>
      <w:r>
        <w:t>shape and drive behavior—without such a mechanism, motivation would simply be a collection of unrealized, internal</w:t>
      </w:r>
      <w:r>
        <w:t xml:space="preserve"> </w:t>
      </w:r>
      <w:r>
        <w:t>forces of little consequence.</w:t>
      </w:r>
      <w:r>
        <w:t xml:space="preserve">” </w:t>
      </w:r>
    </w:p>
    <w:p w:rsidR="00226ED6" w:rsidRDefault="00226ED6" w:rsidP="00226ED6">
      <w:pPr>
        <w:spacing w:line="480" w:lineRule="auto"/>
      </w:pPr>
      <w:r>
        <w:t xml:space="preserve">“Social Cognitive Theory”, says </w:t>
      </w:r>
      <w:proofErr w:type="gramStart"/>
      <w:r>
        <w:t>Kurose,</w:t>
      </w:r>
      <w:proofErr w:type="gramEnd"/>
      <w:r>
        <w:t xml:space="preserve"> “</w:t>
      </w:r>
      <w:r>
        <w:t>sees motivation and behavior as resulting from an ongoing, dynamic interaction among cognitive,</w:t>
      </w:r>
      <w:r>
        <w:t xml:space="preserve"> </w:t>
      </w:r>
      <w:r>
        <w:t>social, and environmental variables. Cognitive factors such as goals, values, and efficacy beliefs all influence motivation</w:t>
      </w:r>
      <w:r>
        <w:t xml:space="preserve"> </w:t>
      </w:r>
      <w:r>
        <w:t>and the decisions people make about how to act.</w:t>
      </w:r>
      <w:r>
        <w:t xml:space="preserve"> </w:t>
      </w:r>
    </w:p>
    <w:p w:rsidR="00226ED6" w:rsidRDefault="00226ED6" w:rsidP="00226ED6">
      <w:pPr>
        <w:spacing w:line="480" w:lineRule="auto"/>
      </w:pPr>
      <w:r>
        <w:lastRenderedPageBreak/>
        <w:t>Translating these two theories into practical application in an office en</w:t>
      </w:r>
      <w:r w:rsidR="00014EC0">
        <w:t xml:space="preserve">vironment is often a difficult process, especially in a busy office environment. But, with some effort, it can be done. </w:t>
      </w:r>
    </w:p>
    <w:p w:rsidR="00014EC0" w:rsidRDefault="00014EC0" w:rsidP="00226ED6">
      <w:pPr>
        <w:spacing w:line="480" w:lineRule="auto"/>
      </w:pPr>
      <w:r>
        <w:t xml:space="preserve">To begin, the financial advisor (or office manager) should construct employee manual that spells out in detail the rules of the office. These can be things such as appropriate attire, breaks, opening and closing the office and other aspects of daily office operations. </w:t>
      </w:r>
    </w:p>
    <w:p w:rsidR="00DA39F5" w:rsidRDefault="00E12B82" w:rsidP="00226ED6">
      <w:pPr>
        <w:spacing w:line="48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2133600</wp:posOffset>
                </wp:positionH>
                <wp:positionV relativeFrom="paragraph">
                  <wp:posOffset>2702560</wp:posOffset>
                </wp:positionV>
                <wp:extent cx="2971800" cy="723900"/>
                <wp:effectExtent l="0" t="0" r="57150" b="95250"/>
                <wp:wrapNone/>
                <wp:docPr id="4" name="Straight Arrow Connector 4"/>
                <wp:cNvGraphicFramePr/>
                <a:graphic xmlns:a="http://schemas.openxmlformats.org/drawingml/2006/main">
                  <a:graphicData uri="http://schemas.microsoft.com/office/word/2010/wordprocessingShape">
                    <wps:wsp>
                      <wps:cNvCnPr/>
                      <wps:spPr>
                        <a:xfrm>
                          <a:off x="0" y="0"/>
                          <a:ext cx="2971800"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8pt;margin-top:212.8pt;width:234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2816860</wp:posOffset>
                </wp:positionV>
                <wp:extent cx="1552575" cy="771525"/>
                <wp:effectExtent l="57150" t="57150" r="66675" b="66675"/>
                <wp:wrapNone/>
                <wp:docPr id="1" name="Rectangle 1"/>
                <wp:cNvGraphicFramePr/>
                <a:graphic xmlns:a="http://schemas.openxmlformats.org/drawingml/2006/main">
                  <a:graphicData uri="http://schemas.microsoft.com/office/word/2010/wordprocessingShape">
                    <wps:wsp>
                      <wps:cNvSpPr/>
                      <wps:spPr>
                        <a:xfrm>
                          <a:off x="0" y="0"/>
                          <a:ext cx="1552575" cy="771525"/>
                        </a:xfrm>
                        <a:prstGeom prst="rect">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E12B82" w:rsidRDefault="00E12B82" w:rsidP="00E12B82">
                            <w:pPr>
                              <w:jc w:val="center"/>
                            </w:pPr>
                            <w:r>
                              <w:t>Position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3.25pt;margin-top:221.8pt;width:122.2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" fillcolor="#4f81bd [3204]" strokecolor="#243f60 [1604]" strokeweight="2pt">
                <v:textbox>
                  <w:txbxContent>
                    <w:p w:rsidR="00E12B82" w:rsidRDefault="00E12B82" w:rsidP="00E12B82">
                      <w:pPr>
                        <w:jc w:val="center"/>
                      </w:pPr>
                      <w:r>
                        <w:t>Position Description</w:t>
                      </w:r>
                    </w:p>
                  </w:txbxContent>
                </v:textbox>
              </v:rect>
            </w:pict>
          </mc:Fallback>
        </mc:AlternateContent>
      </w:r>
      <w:r w:rsidR="00DA39F5">
        <w:t xml:space="preserve">A second step might be to construct an employee position description with specific, detailed and objective criteria that forms the basis of that employee’s evaluation of performance and behavior. This is not some simple, one or two paragraph description. Rather, it should be a detailed list of criteria that is communicated clearly to the employee. It could be divided into different sections such as </w:t>
      </w:r>
      <w:r>
        <w:t>Position Specific Criteria, General Standards for the office and other sections as may be required. Then, the management of employees is standardized and made objective. The process might look like this:</w:t>
      </w:r>
    </w:p>
    <w:p w:rsidR="00E12B82" w:rsidRDefault="00E12B82" w:rsidP="00226ED6">
      <w:pPr>
        <w:spacing w:line="480" w:lineRule="auto"/>
      </w:pPr>
      <w:r>
        <w:rPr>
          <w:noProof/>
        </w:rPr>
        <mc:AlternateContent>
          <mc:Choice Requires="wps">
            <w:drawing>
              <wp:anchor distT="0" distB="0" distL="114300" distR="114300" simplePos="0" relativeHeight="251661312" behindDoc="0" locked="0" layoutInCell="1" allowOverlap="1" wp14:anchorId="47748A0A" wp14:editId="5CE07A46">
                <wp:simplePos x="0" y="0"/>
                <wp:positionH relativeFrom="column">
                  <wp:posOffset>2057400</wp:posOffset>
                </wp:positionH>
                <wp:positionV relativeFrom="paragraph">
                  <wp:posOffset>411480</wp:posOffset>
                </wp:positionV>
                <wp:extent cx="1552575" cy="771525"/>
                <wp:effectExtent l="57150" t="57150" r="66675" b="66675"/>
                <wp:wrapNone/>
                <wp:docPr id="2" name="Rectangle 2"/>
                <wp:cNvGraphicFramePr/>
                <a:graphic xmlns:a="http://schemas.openxmlformats.org/drawingml/2006/main">
                  <a:graphicData uri="http://schemas.microsoft.com/office/word/2010/wordprocessingShape">
                    <wps:wsp>
                      <wps:cNvSpPr/>
                      <wps:spPr>
                        <a:xfrm>
                          <a:off x="0" y="0"/>
                          <a:ext cx="1552575" cy="771525"/>
                        </a:xfrm>
                        <a:prstGeom prst="rect">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E12B82" w:rsidRDefault="00E12B82" w:rsidP="00E12B82">
                            <w:pPr>
                              <w:jc w:val="center"/>
                            </w:pPr>
                            <w:r>
                              <w:t>Observed Performance and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162pt;margin-top:32.4pt;width:122.2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" fillcolor="#4f81bd [3204]" strokecolor="#243f60 [1604]" strokeweight="2pt">
                <v:textbox>
                  <w:txbxContent>
                    <w:p w:rsidR="00E12B82" w:rsidRDefault="00E12B82" w:rsidP="00E12B82">
                      <w:pPr>
                        <w:jc w:val="center"/>
                      </w:pPr>
                      <w:r>
                        <w:t>Observed Performance and Behavior</w:t>
                      </w:r>
                    </w:p>
                  </w:txbxContent>
                </v:textbox>
              </v:rect>
            </w:pict>
          </mc:Fallback>
        </mc:AlternateContent>
      </w:r>
    </w:p>
    <w:p w:rsidR="00E12B82" w:rsidRDefault="00E12B82" w:rsidP="00226ED6">
      <w:pPr>
        <w:spacing w:line="480" w:lineRule="auto"/>
      </w:pPr>
      <w:r>
        <w:rPr>
          <w:noProof/>
        </w:rPr>
        <mc:AlternateContent>
          <mc:Choice Requires="wps">
            <w:drawing>
              <wp:anchor distT="0" distB="0" distL="114300" distR="114300" simplePos="0" relativeHeight="251663360" behindDoc="0" locked="0" layoutInCell="1" allowOverlap="1" wp14:anchorId="56702ACE" wp14:editId="2826F282">
                <wp:simplePos x="0" y="0"/>
                <wp:positionH relativeFrom="column">
                  <wp:posOffset>3810000</wp:posOffset>
                </wp:positionH>
                <wp:positionV relativeFrom="paragraph">
                  <wp:posOffset>469900</wp:posOffset>
                </wp:positionV>
                <wp:extent cx="1552575" cy="771525"/>
                <wp:effectExtent l="57150" t="57150" r="66675" b="66675"/>
                <wp:wrapNone/>
                <wp:docPr id="3" name="Rectangle 3"/>
                <wp:cNvGraphicFramePr/>
                <a:graphic xmlns:a="http://schemas.openxmlformats.org/drawingml/2006/main">
                  <a:graphicData uri="http://schemas.microsoft.com/office/word/2010/wordprocessingShape">
                    <wps:wsp>
                      <wps:cNvSpPr/>
                      <wps:spPr>
                        <a:xfrm>
                          <a:off x="0" y="0"/>
                          <a:ext cx="1552575" cy="771525"/>
                        </a:xfrm>
                        <a:prstGeom prst="rect">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E12B82" w:rsidRDefault="00E12B82" w:rsidP="00E12B82">
                            <w:pPr>
                              <w:jc w:val="center"/>
                            </w:pPr>
                            <w:r>
                              <w:t>Employee Review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margin-left:300pt;margin-top:37pt;width:122.25pt;height:6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" fillcolor="#4f81bd [3204]" strokecolor="#243f60 [1604]" strokeweight="2pt">
                <v:textbox>
                  <w:txbxContent>
                    <w:p w:rsidR="00E12B82" w:rsidRDefault="00E12B82" w:rsidP="00E12B82">
                      <w:pPr>
                        <w:jc w:val="center"/>
                      </w:pPr>
                      <w:r>
                        <w:t>Employee Review Meeting</w:t>
                      </w:r>
                    </w:p>
                  </w:txbxContent>
                </v:textbox>
              </v:rect>
            </w:pict>
          </mc:Fallback>
        </mc:AlternateContent>
      </w:r>
    </w:p>
    <w:p w:rsidR="00E12B82" w:rsidRDefault="00E12B82" w:rsidP="00226ED6">
      <w:pPr>
        <w:spacing w:line="480" w:lineRule="auto"/>
      </w:pPr>
    </w:p>
    <w:p w:rsidR="00E12B82" w:rsidRDefault="00E12B82" w:rsidP="00226ED6">
      <w:pPr>
        <w:spacing w:line="480" w:lineRule="auto"/>
      </w:pPr>
    </w:p>
    <w:p w:rsidR="00E12B82" w:rsidRDefault="00E12B82" w:rsidP="00226ED6">
      <w:pPr>
        <w:spacing w:line="480" w:lineRule="auto"/>
      </w:pPr>
    </w:p>
    <w:p w:rsidR="00E12B82" w:rsidRDefault="00E12B82" w:rsidP="00226ED6">
      <w:pPr>
        <w:spacing w:line="480" w:lineRule="auto"/>
      </w:pPr>
    </w:p>
    <w:p w:rsidR="00E12B82" w:rsidRDefault="00E12B82" w:rsidP="00226ED6">
      <w:pPr>
        <w:spacing w:line="480" w:lineRule="auto"/>
      </w:pPr>
      <w:r>
        <w:lastRenderedPageBreak/>
        <w:t xml:space="preserve">Then, wage adjustments, bonuses and other incentives can be scaled to the performance and behavior criteria. Bonuses should be tied not only to individual performance, but where applicable, team-related performance. And, while we are on the subject, paying a single bonus once per year (such as a Christmas or year-end bonus) is generally not a motivating factor. Adjusting bonuses that are paid based on measurable criteria, such as a combination of net profitability during a specific period of time (as in quarterly) </w:t>
      </w:r>
      <w:r w:rsidR="009813B3">
        <w:t>along with</w:t>
      </w:r>
      <w:r>
        <w:t xml:space="preserve"> individual and/or team performance criteria is far more likely to be a motivating factor as employees see their compensation directly tied to the success of the firm.</w:t>
      </w:r>
    </w:p>
    <w:p w:rsidR="00E12B82" w:rsidRDefault="00E12B82" w:rsidP="00226ED6">
      <w:pPr>
        <w:spacing w:line="480" w:lineRule="auto"/>
      </w:pPr>
      <w:r>
        <w:t xml:space="preserve">Incentivizing those employees who uncover new ways to save money, increase efficiency or </w:t>
      </w:r>
      <w:r w:rsidR="009813B3">
        <w:t>improve time management in the office is also a viable motivator. If finding ways to increase net profitability is not a concern (as in the case of a senior firm that has consciously decided not to grow the client count), then using operational incentives that improve client service or other stated goals could be employed in the measuring of employee bonuses, etc.</w:t>
      </w:r>
    </w:p>
    <w:p w:rsidR="009813B3" w:rsidRDefault="009813B3" w:rsidP="00226ED6">
      <w:pPr>
        <w:spacing w:line="480" w:lineRule="auto"/>
      </w:pPr>
      <w:r>
        <w:t xml:space="preserve">It is still not enough to just provide measuring tools and incentives for employees. While these are necessary elements, the office environment needs to be considered as well. </w:t>
      </w:r>
      <w:r w:rsidR="001B6CC9">
        <w:t>As an example, if an advisor’s office has a cubicle arrangement and those cubicles have partial walls that are not high enough, then the possibility of auditory interference could result. To illustrate, say an employee in one cubicle is talking loudly on the phone and the person in the next cubicle is attempting to do analytical-type work, studies have shown that once interrupted</w:t>
      </w:r>
      <w:r w:rsidR="00F639BD">
        <w:t xml:space="preserve">, it can upwards of 10 to 20 minutes to mentally get back on track with that analytical task. Multiply this times the number of interruptions per day </w:t>
      </w:r>
      <w:r w:rsidR="00F639BD">
        <w:lastRenderedPageBreak/>
        <w:t xml:space="preserve">times the number of affected employees times the number of work days in a given year and you have a serious (and potentially expensive) roadblock to productivity and efficiency. This is an environmental issue as much as a social behavior issue and could be solved quickly and efficiently by installing sound deadening elements in the cubicle area. Examples include raising the cubicle walls, adding sound reflecting elements such as hanging plants and adding ambient sound elements such as a bubbling water fountain or other. The point is to diffuse the auditory interference and </w:t>
      </w:r>
      <w:r w:rsidR="00367BCD">
        <w:t>decrease</w:t>
      </w:r>
      <w:r w:rsidR="00F639BD">
        <w:t xml:space="preserve"> the possibility </w:t>
      </w:r>
      <w:r w:rsidR="00367BCD">
        <w:t>of distracting that employee who is deep in the middle of an analytical task.</w:t>
      </w:r>
    </w:p>
    <w:p w:rsidR="00367BCD" w:rsidRDefault="004835F2" w:rsidP="00226ED6">
      <w:pPr>
        <w:spacing w:line="480" w:lineRule="auto"/>
      </w:pPr>
      <w:r>
        <w:t xml:space="preserve">Another form of distraction might be called visual interference. This is where movement within the direct eyesight of any employee distracts that employee from what task they may be attempting to do. As an example, if the position of an employee’s desk is aligned so that everyone who walks by could be easily seen by that employee, it could represent a visual interference, depending on the role of the employee. Certainly, this would not be the case with a receptionist as it is their job to greet visitors to the office and interact with them. But, for an employee who is charged with analytical tasks, this could prove to be a serious inhibitor to productivity and efficiency. </w:t>
      </w:r>
    </w:p>
    <w:p w:rsidR="00560F23" w:rsidRDefault="00560F23" w:rsidP="00226ED6">
      <w:pPr>
        <w:spacing w:line="480" w:lineRule="auto"/>
      </w:pPr>
      <w:r>
        <w:t xml:space="preserve">Yet another form of distraction could be termed social behavior interference. In cases where one or more employees spend an inordinate amount of time talking with other employees on non-office related topics (what used to be called the water cooler talk), this type of distraction could significantly impact overall office productivity. </w:t>
      </w:r>
    </w:p>
    <w:p w:rsidR="004835F2" w:rsidRDefault="004835F2" w:rsidP="00226ED6">
      <w:pPr>
        <w:spacing w:line="480" w:lineRule="auto"/>
      </w:pPr>
      <w:r>
        <w:t>Therefore, it is a good practice to periodically review the office environment</w:t>
      </w:r>
      <w:r w:rsidR="00560F23">
        <w:t xml:space="preserve"> as well as the employees’ social behavior on the job</w:t>
      </w:r>
      <w:r>
        <w:t xml:space="preserve"> to uncover subtle issues like those mentioned </w:t>
      </w:r>
      <w:r>
        <w:lastRenderedPageBreak/>
        <w:t>above. Perhaps, by realigning where employees sit</w:t>
      </w:r>
      <w:r w:rsidR="00560F23">
        <w:t xml:space="preserve"> and reducing the potential for distractions</w:t>
      </w:r>
      <w:r>
        <w:t xml:space="preserve">, the office could avoid some of these issues and ultimately </w:t>
      </w:r>
      <w:r w:rsidR="00560F23">
        <w:t>create an</w:t>
      </w:r>
      <w:r>
        <w:t xml:space="preserve"> office environment</w:t>
      </w:r>
      <w:r w:rsidR="00560F23">
        <w:t xml:space="preserve"> that promotes higher levels </w:t>
      </w:r>
      <w:r>
        <w:t>employee productivity and efficiency.</w:t>
      </w:r>
      <w:r w:rsidR="00560F23">
        <w:t xml:space="preserve"> </w:t>
      </w:r>
    </w:p>
    <w:p w:rsidR="00F639BD" w:rsidRDefault="00F639BD" w:rsidP="00F639BD">
      <w:bookmarkStart w:id="0" w:name="_GoBack"/>
      <w:bookmarkEnd w:id="0"/>
    </w:p>
    <w:p w:rsidR="00F639BD" w:rsidRPr="00BE0C71" w:rsidRDefault="00F639BD" w:rsidP="00F639BD">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7"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Wiley.com and other book retailers</w:t>
      </w:r>
      <w:r w:rsidRPr="00747CF7">
        <w:rPr>
          <w:sz w:val="18"/>
        </w:rPr>
        <w:t>.</w:t>
      </w:r>
      <w:r w:rsidRPr="00747CF7">
        <w:rPr>
          <w:sz w:val="18"/>
          <w:szCs w:val="36"/>
        </w:rPr>
        <w:t xml:space="preserve"> </w:t>
      </w:r>
    </w:p>
    <w:p w:rsidR="00F639BD" w:rsidRPr="00226ED6" w:rsidRDefault="00F639BD" w:rsidP="00226ED6">
      <w:pPr>
        <w:spacing w:line="480" w:lineRule="auto"/>
      </w:pPr>
    </w:p>
    <w:sectPr w:rsidR="00F639BD" w:rsidRPr="00226E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FE" w:rsidRDefault="00CC2EFE" w:rsidP="00014EC0">
      <w:pPr>
        <w:spacing w:after="0" w:line="240" w:lineRule="auto"/>
      </w:pPr>
      <w:r>
        <w:separator/>
      </w:r>
    </w:p>
  </w:endnote>
  <w:endnote w:type="continuationSeparator" w:id="0">
    <w:p w:rsidR="00CC2EFE" w:rsidRDefault="00CC2EFE" w:rsidP="0001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136821"/>
      <w:docPartObj>
        <w:docPartGallery w:val="Page Numbers (Bottom of Page)"/>
        <w:docPartUnique/>
      </w:docPartObj>
    </w:sdtPr>
    <w:sdtEndPr>
      <w:rPr>
        <w:color w:val="808080" w:themeColor="background1" w:themeShade="80"/>
        <w:spacing w:val="60"/>
      </w:rPr>
    </w:sdtEndPr>
    <w:sdtContent>
      <w:p w:rsidR="00014EC0" w:rsidRDefault="00014E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0F23">
          <w:rPr>
            <w:noProof/>
          </w:rPr>
          <w:t>1</w:t>
        </w:r>
        <w:r>
          <w:rPr>
            <w:noProof/>
          </w:rPr>
          <w:fldChar w:fldCharType="end"/>
        </w:r>
        <w:r>
          <w:t xml:space="preserve"> | </w:t>
        </w:r>
        <w:r>
          <w:rPr>
            <w:color w:val="808080" w:themeColor="background1" w:themeShade="80"/>
            <w:spacing w:val="60"/>
          </w:rPr>
          <w:t>Page</w:t>
        </w:r>
      </w:p>
    </w:sdtContent>
  </w:sdt>
  <w:p w:rsidR="00014EC0" w:rsidRDefault="00014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FE" w:rsidRDefault="00CC2EFE" w:rsidP="00014EC0">
      <w:pPr>
        <w:spacing w:after="0" w:line="240" w:lineRule="auto"/>
      </w:pPr>
      <w:r>
        <w:separator/>
      </w:r>
    </w:p>
  </w:footnote>
  <w:footnote w:type="continuationSeparator" w:id="0">
    <w:p w:rsidR="00CC2EFE" w:rsidRDefault="00CC2EFE" w:rsidP="00014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D6"/>
    <w:rsid w:val="00014EC0"/>
    <w:rsid w:val="001B6CC9"/>
    <w:rsid w:val="00226ED6"/>
    <w:rsid w:val="00367BCD"/>
    <w:rsid w:val="004835F2"/>
    <w:rsid w:val="00560F23"/>
    <w:rsid w:val="00670903"/>
    <w:rsid w:val="00755DED"/>
    <w:rsid w:val="009813B3"/>
    <w:rsid w:val="00CC0771"/>
    <w:rsid w:val="00CC2EFE"/>
    <w:rsid w:val="00DA39F5"/>
    <w:rsid w:val="00E12B82"/>
    <w:rsid w:val="00F6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C0"/>
  </w:style>
  <w:style w:type="paragraph" w:styleId="Footer">
    <w:name w:val="footer"/>
    <w:basedOn w:val="Normal"/>
    <w:link w:val="FooterChar"/>
    <w:uiPriority w:val="99"/>
    <w:unhideWhenUsed/>
    <w:rsid w:val="0001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EC0"/>
  </w:style>
  <w:style w:type="character" w:styleId="Hyperlink">
    <w:name w:val="Hyperlink"/>
    <w:basedOn w:val="DefaultParagraphFont"/>
    <w:uiPriority w:val="99"/>
    <w:unhideWhenUsed/>
    <w:rsid w:val="00F639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C0"/>
  </w:style>
  <w:style w:type="paragraph" w:styleId="Footer">
    <w:name w:val="footer"/>
    <w:basedOn w:val="Normal"/>
    <w:link w:val="FooterChar"/>
    <w:uiPriority w:val="99"/>
    <w:unhideWhenUsed/>
    <w:rsid w:val="0001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EC0"/>
  </w:style>
  <w:style w:type="character" w:styleId="Hyperlink">
    <w:name w:val="Hyperlink"/>
    <w:basedOn w:val="DefaultParagraphFont"/>
    <w:uiPriority w:val="99"/>
    <w:unhideWhenUsed/>
    <w:rsid w:val="00F63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fficientpract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5</cp:revision>
  <dcterms:created xsi:type="dcterms:W3CDTF">2014-04-24T23:55:00Z</dcterms:created>
  <dcterms:modified xsi:type="dcterms:W3CDTF">2014-04-25T01:17:00Z</dcterms:modified>
</cp:coreProperties>
</file>